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1E" w:rsidRDefault="00F46D1E" w:rsidP="00F46D1E">
      <w:pPr>
        <w:pStyle w:val="2-"/>
      </w:pPr>
      <w:bookmarkStart w:id="0" w:name="_Toc13755825"/>
      <w:r>
        <w:t>15. способы перевода слов-реалий</w:t>
      </w:r>
      <w:bookmarkEnd w:id="0"/>
    </w:p>
    <w:p w:rsidR="00F46D1E" w:rsidRDefault="00F46D1E" w:rsidP="00F46D1E">
      <w:pPr>
        <w:pStyle w:val="a3"/>
      </w:pPr>
      <w:r>
        <w:t>Приведенные примеры и рассуждения подсказывают пять наибо</w:t>
      </w:r>
      <w:r>
        <w:softHyphen/>
        <w:t>лее распространенных способов перевода слов-реалий.</w:t>
      </w:r>
    </w:p>
    <w:p w:rsidR="00F46D1E" w:rsidRDefault="00F46D1E" w:rsidP="00F46D1E">
      <w:pPr>
        <w:pStyle w:val="a3"/>
        <w:pBdr>
          <w:bottom w:val="single" w:sz="4" w:space="1" w:color="auto"/>
        </w:pBdr>
      </w:pPr>
      <w:r>
        <w:t xml:space="preserve">а) </w:t>
      </w:r>
      <w:r>
        <w:rPr>
          <w:spacing w:val="40"/>
        </w:rPr>
        <w:t>Транскрипция</w:t>
      </w:r>
      <w:r>
        <w:t xml:space="preserve"> (транслитерация). При первом появлении в тексте транскрибированные слова обычно сопровождаются сноска</w:t>
      </w:r>
      <w:r>
        <w:softHyphen/>
        <w:t>ми или умело вводимыми в текст перевода объяснениями. Подав</w:t>
      </w:r>
      <w:r>
        <w:softHyphen/>
        <w:t>ляющее большинство окказиональных заимствований а — г групп было прокомментировано в сносках. Опытные переводчики и теоре</w:t>
      </w:r>
      <w:r>
        <w:softHyphen/>
        <w:t>тики перевода не раз призывали коллег по переводческому цеху к чувству меры в использовании иноязычных слов в переводе.* Чрез</w:t>
      </w:r>
      <w:r>
        <w:softHyphen/>
        <w:t>мерное увлечение транскрибированием иноязычных слов, называю</w:t>
      </w:r>
      <w:r>
        <w:softHyphen/>
        <w:t>щих реалии, а не так уж редко принимаемых за них, не только не способствует сохранению национального колорита, а, наоборот, уничтожает его, загромождая русское повествование и заставляя читателя спотыкаться на каждом шагу о ненужные экзотизмы. Учиться чувству меры надо у русских классиков, которые, описывая в романах и повестях далекие страны или жизнь Российской импе</w:t>
      </w:r>
      <w:r>
        <w:softHyphen/>
        <w:t>рии, умело и рационально использовали «фоновую лексику», искус</w:t>
      </w:r>
      <w:r>
        <w:softHyphen/>
        <w:t>но «вплавляли» ее в русскую художественную речь и создавали яр</w:t>
      </w:r>
      <w:r>
        <w:softHyphen/>
        <w:t>кие картины национально быта других народов и народностей. «Я могу сослаться на опыт такого превосходного русского писателя, как Короленко, — пишет по этому поводу Н. М. Любимов. — По-видимому, он считал, что злоупотребление иноязычными словами — это линия наименьшего сопротивления. Как всякий большой художник, он шел по линии наибольшего сопротивления. Он так описывал внешность якутов, их юрты, их утварь, их нравы и образ жизни, он так описывал якутскую природу, что по прочтении его рассказов у нас создается впечатление, будто мы вместе с ним пожили в дореволюционной Якутии. Его пример — наука переводчикам. Вводить иноязычные слова допустимо в тех случаях, когда то или иное понятие, та или иная реалия не находят себе эквивалента в русском языке».**</w:t>
      </w:r>
    </w:p>
    <w:p w:rsidR="00F46D1E" w:rsidRDefault="00F46D1E" w:rsidP="00F46D1E">
      <w:pPr>
        <w:pStyle w:val="a4"/>
      </w:pPr>
      <w:r>
        <w:t xml:space="preserve">* См.: </w:t>
      </w:r>
      <w:proofErr w:type="spellStart"/>
      <w:r>
        <w:rPr>
          <w:i/>
        </w:rPr>
        <w:t>Россельс</w:t>
      </w:r>
      <w:proofErr w:type="spellEnd"/>
      <w:r>
        <w:rPr>
          <w:i/>
        </w:rPr>
        <w:t xml:space="preserve"> Вл.</w:t>
      </w:r>
      <w:r>
        <w:t xml:space="preserve"> Серая ткань // Мастерство перевода. 1969. М., 1970. С. 301—304; </w:t>
      </w:r>
      <w:r>
        <w:rPr>
          <w:i/>
        </w:rPr>
        <w:t>Любимов Н.</w:t>
      </w:r>
      <w:r>
        <w:t xml:space="preserve"> Перевод — искусство // Мастерство перевода, С. 243—244; </w:t>
      </w:r>
      <w:r>
        <w:rPr>
          <w:i/>
        </w:rPr>
        <w:t xml:space="preserve">Шуман М. </w:t>
      </w:r>
      <w:r>
        <w:t>Слова переводимые и слова непереводимые // Мастерство перевода. 1963. М., 1964. С. 124—130.</w:t>
      </w:r>
    </w:p>
    <w:p w:rsidR="00F46D1E" w:rsidRDefault="00F46D1E" w:rsidP="00F46D1E">
      <w:pPr>
        <w:pStyle w:val="a4"/>
      </w:pPr>
      <w:r>
        <w:t xml:space="preserve">** </w:t>
      </w:r>
      <w:r>
        <w:rPr>
          <w:i/>
        </w:rPr>
        <w:t>Любимов Н.</w:t>
      </w:r>
      <w:r>
        <w:t xml:space="preserve"> Перевод — искусство. С. 243.</w:t>
      </w:r>
    </w:p>
    <w:p w:rsidR="00F46D1E" w:rsidRDefault="00F46D1E" w:rsidP="00F46D1E">
      <w:pPr>
        <w:pStyle w:val="a3"/>
      </w:pPr>
    </w:p>
    <w:p w:rsidR="00F46D1E" w:rsidRDefault="00F46D1E" w:rsidP="00F46D1E">
      <w:pPr>
        <w:pStyle w:val="a3"/>
      </w:pPr>
      <w:r>
        <w:t xml:space="preserve">б) </w:t>
      </w:r>
      <w:proofErr w:type="spellStart"/>
      <w:r>
        <w:rPr>
          <w:spacing w:val="40"/>
        </w:rPr>
        <w:t>Гипо-гиперонимический</w:t>
      </w:r>
      <w:proofErr w:type="spellEnd"/>
      <w:r>
        <w:rPr>
          <w:spacing w:val="40"/>
        </w:rPr>
        <w:t xml:space="preserve"> перевод</w:t>
      </w:r>
      <w:r>
        <w:t xml:space="preserve">. О нем уже речь шла выше. Для этого способа перевода характерно установление отношения эквивалентности между словом оригинала, передающим видовое понятие-реалию, и словом в языке перевода, называющим соответствующее родовое понятие, или наоборот. В таких случаях, например, с испанскими словами </w:t>
      </w:r>
      <w:proofErr w:type="spellStart"/>
      <w:r>
        <w:rPr>
          <w:i/>
        </w:rPr>
        <w:t>нопаль</w:t>
      </w:r>
      <w:proofErr w:type="spellEnd"/>
      <w:r>
        <w:t xml:space="preserve"> (вид кактуса), </w:t>
      </w:r>
      <w:proofErr w:type="spellStart"/>
      <w:r>
        <w:rPr>
          <w:i/>
        </w:rPr>
        <w:t>кебрачо</w:t>
      </w:r>
      <w:proofErr w:type="spellEnd"/>
      <w:r>
        <w:t xml:space="preserve"> (вид дерева) или </w:t>
      </w:r>
      <w:proofErr w:type="spellStart"/>
      <w:r>
        <w:rPr>
          <w:i/>
        </w:rPr>
        <w:t>грапа</w:t>
      </w:r>
      <w:proofErr w:type="spellEnd"/>
      <w:r>
        <w:t xml:space="preserve"> (вид водки) будут соотносится в переводе их ро</w:t>
      </w:r>
      <w:r>
        <w:softHyphen/>
        <w:t xml:space="preserve">довые межъязыковые </w:t>
      </w:r>
      <w:proofErr w:type="spellStart"/>
      <w:r>
        <w:t>гиперонимы</w:t>
      </w:r>
      <w:proofErr w:type="spellEnd"/>
      <w:r>
        <w:t xml:space="preserve">: </w:t>
      </w:r>
      <w:r>
        <w:rPr>
          <w:i/>
        </w:rPr>
        <w:t>кактус, дерево, водка.</w:t>
      </w:r>
      <w:r>
        <w:t xml:space="preserve"> Примеры обратной зависимости, когда слово оригинала выражало бы родовое понятие, а в переводе ему соответствовало бы понятие видовое, сре</w:t>
      </w:r>
      <w:r>
        <w:softHyphen/>
        <w:t>ди воссозданной «</w:t>
      </w:r>
      <w:proofErr w:type="spellStart"/>
      <w:r>
        <w:t>безэквивалентной</w:t>
      </w:r>
      <w:proofErr w:type="spellEnd"/>
      <w:r>
        <w:t>» лексики встречаются крайне редко. Иногда переводчики варьируют оба указанных приема. Сна</w:t>
      </w:r>
      <w:r>
        <w:softHyphen/>
        <w:t xml:space="preserve">чала они транскрибируют слово-реалию, а затем при следующем появлении его в оригинале переводят </w:t>
      </w:r>
      <w:proofErr w:type="spellStart"/>
      <w:r>
        <w:t>гиперонимом</w:t>
      </w:r>
      <w:proofErr w:type="spellEnd"/>
      <w:r>
        <w:t>.</w:t>
      </w:r>
    </w:p>
    <w:p w:rsidR="00F46D1E" w:rsidRDefault="00F46D1E" w:rsidP="00F46D1E">
      <w:pPr>
        <w:pStyle w:val="a3"/>
      </w:pPr>
      <w:r>
        <w:t xml:space="preserve">в) </w:t>
      </w:r>
      <w:r>
        <w:rPr>
          <w:spacing w:val="40"/>
        </w:rPr>
        <w:t>Уподобление</w:t>
      </w:r>
      <w:r>
        <w:t xml:space="preserve">. Этот переводческий прием очень близок к предыдущему. Разница между ними лишь в том, что уподобляемые слова скорее называют понятия, соподчиненные по отношению к родовому понятию, а не подчиненное и подчиняющее понятия, как было в предыдущем случае. Например, </w:t>
      </w:r>
      <w:proofErr w:type="spellStart"/>
      <w:r>
        <w:rPr>
          <w:i/>
        </w:rPr>
        <w:t>бомбачи</w:t>
      </w:r>
      <w:proofErr w:type="spellEnd"/>
      <w:r>
        <w:rPr>
          <w:i/>
        </w:rPr>
        <w:t xml:space="preserve"> —</w:t>
      </w:r>
      <w:r>
        <w:t xml:space="preserve"> шаровары, </w:t>
      </w:r>
      <w:r>
        <w:rPr>
          <w:i/>
        </w:rPr>
        <w:t>ма</w:t>
      </w:r>
      <w:r>
        <w:rPr>
          <w:i/>
        </w:rPr>
        <w:softHyphen/>
        <w:t>чете —</w:t>
      </w:r>
      <w:r>
        <w:t xml:space="preserve"> тесак, </w:t>
      </w:r>
      <w:proofErr w:type="spellStart"/>
      <w:r>
        <w:rPr>
          <w:i/>
        </w:rPr>
        <w:t>боличе</w:t>
      </w:r>
      <w:proofErr w:type="spellEnd"/>
      <w:r>
        <w:rPr>
          <w:i/>
        </w:rPr>
        <w:t xml:space="preserve"> —</w:t>
      </w:r>
      <w:r>
        <w:t xml:space="preserve"> кегли, </w:t>
      </w:r>
      <w:r>
        <w:rPr>
          <w:i/>
        </w:rPr>
        <w:t>ранчо —</w:t>
      </w:r>
      <w:r>
        <w:t xml:space="preserve"> хижина. Степень понятий</w:t>
      </w:r>
      <w:r>
        <w:softHyphen/>
        <w:t>ного сходства таких межъязыковых соответствий (неполных эквива</w:t>
      </w:r>
      <w:r>
        <w:softHyphen/>
        <w:t xml:space="preserve">лентов) выше, чем у соответствий </w:t>
      </w:r>
      <w:proofErr w:type="spellStart"/>
      <w:r>
        <w:t>родо-видовых</w:t>
      </w:r>
      <w:proofErr w:type="spellEnd"/>
      <w:r>
        <w:t>.</w:t>
      </w:r>
    </w:p>
    <w:p w:rsidR="00F46D1E" w:rsidRDefault="00F46D1E" w:rsidP="00F46D1E">
      <w:pPr>
        <w:pStyle w:val="a3"/>
      </w:pPr>
      <w:r>
        <w:t xml:space="preserve">г) </w:t>
      </w:r>
      <w:r>
        <w:rPr>
          <w:spacing w:val="40"/>
        </w:rPr>
        <w:t>Перифрастический</w:t>
      </w:r>
      <w:r>
        <w:t xml:space="preserve"> (описательный, дескриптивный, </w:t>
      </w:r>
      <w:proofErr w:type="spellStart"/>
      <w:r>
        <w:t>экспликативный</w:t>
      </w:r>
      <w:proofErr w:type="spellEnd"/>
      <w:r>
        <w:t>) перевод. В этих случаях соответствия устанавлива</w:t>
      </w:r>
      <w:r>
        <w:softHyphen/>
        <w:t>ются между словом (или фразеологизмом) оригинала и словосочета</w:t>
      </w:r>
      <w:r>
        <w:softHyphen/>
        <w:t xml:space="preserve">нием перевода, объясняющим его смысл: </w:t>
      </w:r>
      <w:proofErr w:type="spellStart"/>
      <w:r>
        <w:rPr>
          <w:i/>
        </w:rPr>
        <w:t>альпаргатам</w:t>
      </w:r>
      <w:proofErr w:type="spellEnd"/>
      <w:r>
        <w:t xml:space="preserve"> </w:t>
      </w:r>
      <w:r>
        <w:lastRenderedPageBreak/>
        <w:t>соответству</w:t>
      </w:r>
      <w:r>
        <w:softHyphen/>
        <w:t xml:space="preserve">ет </w:t>
      </w:r>
      <w:r>
        <w:rPr>
          <w:i/>
        </w:rPr>
        <w:t>сандалии из пеньки</w:t>
      </w:r>
      <w:r>
        <w:t xml:space="preserve"> или </w:t>
      </w:r>
      <w:r>
        <w:rPr>
          <w:i/>
        </w:rPr>
        <w:t xml:space="preserve">матерчатые сандалии, </w:t>
      </w:r>
      <w:proofErr w:type="spellStart"/>
      <w:r>
        <w:rPr>
          <w:i/>
        </w:rPr>
        <w:t>пучеро</w:t>
      </w:r>
      <w:proofErr w:type="spellEnd"/>
      <w:r>
        <w:rPr>
          <w:i/>
        </w:rPr>
        <w:t xml:space="preserve"> —</w:t>
      </w:r>
      <w:r>
        <w:t xml:space="preserve"> похлеб</w:t>
      </w:r>
      <w:r>
        <w:softHyphen/>
        <w:t xml:space="preserve">ка из говядины, </w:t>
      </w:r>
      <w:r>
        <w:rPr>
          <w:i/>
        </w:rPr>
        <w:t>сельве —</w:t>
      </w:r>
      <w:r>
        <w:t xml:space="preserve"> тропический лес. Перифраза тоже нередко совмещается с транскрипцией, заменяя подстрочный комментарий и делая более естественной и соответствующей оригиналу переводную авторскую речь, коль скоро ее не прерывает сноска. «Хуана поставила на стол </w:t>
      </w:r>
      <w:proofErr w:type="spellStart"/>
      <w:r>
        <w:t>пучеро</w:t>
      </w:r>
      <w:proofErr w:type="spellEnd"/>
      <w:r>
        <w:t>, похлебку из говядины, и все принялись за еду» — пример совмещения транскрипции и дескриптивного перевода.</w:t>
      </w:r>
    </w:p>
    <w:p w:rsidR="00F46D1E" w:rsidRDefault="00F46D1E" w:rsidP="00F46D1E">
      <w:pPr>
        <w:pStyle w:val="a3"/>
      </w:pPr>
      <w:proofErr w:type="spellStart"/>
      <w:r>
        <w:t>д</w:t>
      </w:r>
      <w:proofErr w:type="spellEnd"/>
      <w:r>
        <w:t xml:space="preserve">) </w:t>
      </w:r>
      <w:r>
        <w:rPr>
          <w:spacing w:val="40"/>
        </w:rPr>
        <w:t>Калькирование</w:t>
      </w:r>
      <w:r>
        <w:t>. В художественном переводе этот прием характерен не для передачи значений слов-реалий, то есть обще</w:t>
      </w:r>
      <w:r>
        <w:softHyphen/>
        <w:t>употребительных слов в определенной национальной общности, а при воссоздании индивидуально-авторских неологизмов, когда пе</w:t>
      </w:r>
      <w:r>
        <w:softHyphen/>
        <w:t>реводчик, соперничая с автором, придумывает столь же выразитель</w:t>
      </w:r>
      <w:r>
        <w:softHyphen/>
        <w:t>ные, как в оригинале, окказиональные слова. Таких словесных «придумок» и калек много среди нарицательных имен и так назы</w:t>
      </w:r>
      <w:r>
        <w:softHyphen/>
        <w:t>ваемых говорящих имен собственных. Но об этом речь впереди. К калькированию прибегают и при переводе пословиц и поговорок, когда в силу различных причин необходимо сохранить не только их смысл, но и их образно-смысловую основу (подробнее см. § 19). Структурно-семантическое калькирование иноязычных слов часто применяется в переводах научной литературы.</w:t>
      </w:r>
    </w:p>
    <w:p w:rsidR="00F46D1E" w:rsidRDefault="00F46D1E" w:rsidP="00F46D1E">
      <w:pPr>
        <w:pStyle w:val="a3"/>
        <w:pBdr>
          <w:bottom w:val="single" w:sz="4" w:space="1" w:color="auto"/>
        </w:pBdr>
      </w:pPr>
      <w:r>
        <w:t xml:space="preserve">Предложенное деление способов передачи слов, называющих реалии не совпадает с мнением С. </w:t>
      </w:r>
      <w:proofErr w:type="spellStart"/>
      <w:r>
        <w:t>Влахова</w:t>
      </w:r>
      <w:proofErr w:type="spellEnd"/>
      <w:r>
        <w:t xml:space="preserve"> и С. Флорина, которым предусматривается несколько приемов передачи реалий в переводе: I — транскрипция (</w:t>
      </w:r>
      <w:proofErr w:type="spellStart"/>
      <w:r>
        <w:t>транслитериция</w:t>
      </w:r>
      <w:proofErr w:type="spellEnd"/>
      <w:r>
        <w:t>), II — собственно перевод. Он включает: 1) неологизмы (калька, полукалька, освоение, семантиче</w:t>
      </w:r>
      <w:r>
        <w:softHyphen/>
        <w:t>ский неологизм), 2) замена реалий, 3) приблизительный перевод (</w:t>
      </w:r>
      <w:proofErr w:type="spellStart"/>
      <w:r>
        <w:t>родо-видовая</w:t>
      </w:r>
      <w:proofErr w:type="spellEnd"/>
      <w:r>
        <w:t xml:space="preserve"> замена, функциональный аналог и описание, объяс</w:t>
      </w:r>
      <w:r>
        <w:softHyphen/>
        <w:t>нение, толкования), 4) контекстуальный перевод.*</w:t>
      </w:r>
    </w:p>
    <w:p w:rsidR="00F46D1E" w:rsidRDefault="00F46D1E" w:rsidP="00F46D1E">
      <w:pPr>
        <w:pStyle w:val="a4"/>
      </w:pPr>
      <w:r>
        <w:t xml:space="preserve">* См. </w:t>
      </w:r>
      <w:r>
        <w:rPr>
          <w:i/>
        </w:rPr>
        <w:t>Влахов С.. Флорин С.</w:t>
      </w:r>
      <w:r>
        <w:t xml:space="preserve"> Непереводимое в переводе. М., 1986. С. 96—105; см. также: </w:t>
      </w:r>
      <w:r>
        <w:rPr>
          <w:i/>
        </w:rPr>
        <w:t>Флорин С.</w:t>
      </w:r>
      <w:r>
        <w:t xml:space="preserve"> Реалии под микроскопом // Тетради переводчика, № 9. М., 1972. С. 67.</w:t>
      </w:r>
    </w:p>
    <w:p w:rsidR="00F46D1E" w:rsidRDefault="00F46D1E" w:rsidP="00F46D1E">
      <w:pPr>
        <w:pStyle w:val="a3"/>
      </w:pPr>
    </w:p>
    <w:p w:rsidR="00F46D1E" w:rsidRDefault="00F46D1E" w:rsidP="00F46D1E">
      <w:pPr>
        <w:pStyle w:val="a3"/>
      </w:pPr>
      <w:r>
        <w:t>Причины такого несовпадения заключаются в следующем:</w:t>
      </w:r>
    </w:p>
    <w:p w:rsidR="00F46D1E" w:rsidRDefault="00F46D1E" w:rsidP="00F46D1E">
      <w:pPr>
        <w:pStyle w:val="a3"/>
        <w:pBdr>
          <w:bottom w:val="single" w:sz="4" w:space="1" w:color="auto"/>
        </w:pBdr>
      </w:pPr>
      <w:r>
        <w:t>Во-первых, авторы ставят в один ряд окказиональные (переводче</w:t>
      </w:r>
      <w:r>
        <w:softHyphen/>
        <w:t>ские) заимствования, образующиеся в результате транскрипции, и заимствования, усвоенные и освоенные.* Иноязычные заимствования могут быть усвоенными, т. е. вошедшими в тот или иной язык, но не</w:t>
      </w:r>
      <w:r>
        <w:softHyphen/>
        <w:t>освоенными до конца, т. е. не подчинившимися грамматическим за</w:t>
      </w:r>
      <w:r>
        <w:softHyphen/>
        <w:t xml:space="preserve">конам принявшего их языка. Примером тому могут служить </w:t>
      </w:r>
      <w:r>
        <w:rPr>
          <w:i/>
        </w:rPr>
        <w:t>колибри, сомбреро, танго, кенгуру, пенсне, кашне.</w:t>
      </w:r>
      <w:r>
        <w:t xml:space="preserve"> Те же заимствования, ко</w:t>
      </w:r>
      <w:r>
        <w:softHyphen/>
        <w:t>торые «освоились» (ассимилировались, укоренились) в новой грам</w:t>
      </w:r>
      <w:r>
        <w:softHyphen/>
        <w:t xml:space="preserve">матической системе, делаются, говоря словами А. А. Реформатского, «незаметными», и «их былую </w:t>
      </w:r>
      <w:proofErr w:type="spellStart"/>
      <w:r>
        <w:t>чужеземность</w:t>
      </w:r>
      <w:proofErr w:type="spellEnd"/>
      <w:r>
        <w:t xml:space="preserve"> можно открыть только научно-этимологическим анализом». </w:t>
      </w:r>
      <w:r>
        <w:rPr>
          <w:i/>
        </w:rPr>
        <w:t>Спорт, штаб, солдат —</w:t>
      </w:r>
      <w:r>
        <w:t xml:space="preserve"> это освоенные заимствования. Освоение — длительный процесс, в кото</w:t>
      </w:r>
      <w:r>
        <w:softHyphen/>
        <w:t xml:space="preserve">ром участвуют многие носители языка, а создаваемая переводчиком транскрипция слова-реалии — акт единичный. Когда переводчик имеет дело с часто повторяемыми в переводах с конкретного языка словами-реалиями (например, в переводах с испанского — </w:t>
      </w:r>
      <w:r>
        <w:rPr>
          <w:i/>
        </w:rPr>
        <w:t xml:space="preserve">эстансия, ранчо, </w:t>
      </w:r>
      <w:proofErr w:type="spellStart"/>
      <w:r>
        <w:rPr>
          <w:i/>
        </w:rPr>
        <w:t>асадо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агуардиенте</w:t>
      </w:r>
      <w:proofErr w:type="spellEnd"/>
      <w:r>
        <w:rPr>
          <w:i/>
        </w:rPr>
        <w:t>),</w:t>
      </w:r>
      <w:r>
        <w:t xml:space="preserve"> он по существу лишь повторяет уже ис</w:t>
      </w:r>
      <w:r>
        <w:softHyphen/>
        <w:t xml:space="preserve">пользованный ранее переводческий прием и этим в известной степени способствует освоению иноязычного слова. Когда же переводчик нескольких видоизменяет транслитерированное слово, подгоняя его под грамматическую модель родного языка (на четырех с лишним тысячах страниц переводных текстов встретилась лишь одна такая адаптация: </w:t>
      </w:r>
      <w:proofErr w:type="spellStart"/>
      <w:r>
        <w:rPr>
          <w:i/>
        </w:rPr>
        <w:t>болеадорас</w:t>
      </w:r>
      <w:proofErr w:type="spellEnd"/>
      <w:r>
        <w:rPr>
          <w:i/>
        </w:rPr>
        <w:t xml:space="preserve"> — </w:t>
      </w:r>
      <w:proofErr w:type="spellStart"/>
      <w:r>
        <w:rPr>
          <w:i/>
        </w:rPr>
        <w:t>болеадоры</w:t>
      </w:r>
      <w:proofErr w:type="spellEnd"/>
      <w:r>
        <w:rPr>
          <w:i/>
        </w:rPr>
        <w:t>),</w:t>
      </w:r>
      <w:r>
        <w:t xml:space="preserve"> то и тогда он делает лишь один шаг в освоении заимствованного слова. Короче говоря, освоение нельзя рассматривать как переводческий прием. Это лексическое по</w:t>
      </w:r>
      <w:r>
        <w:softHyphen/>
        <w:t>нятие, означающее процесс грамматической и фонетической ассими</w:t>
      </w:r>
      <w:r>
        <w:softHyphen/>
        <w:t>ляции заимствованного языком слова.</w:t>
      </w:r>
    </w:p>
    <w:p w:rsidR="00F46D1E" w:rsidRDefault="00F46D1E" w:rsidP="00F46D1E">
      <w:pPr>
        <w:pStyle w:val="a4"/>
      </w:pPr>
      <w:r>
        <w:t xml:space="preserve">* См. </w:t>
      </w:r>
      <w:r>
        <w:rPr>
          <w:i/>
        </w:rPr>
        <w:t>Реформатский А. А.</w:t>
      </w:r>
      <w:r>
        <w:t xml:space="preserve"> Введение в языковедение. С. 135—136; </w:t>
      </w:r>
      <w:proofErr w:type="spellStart"/>
      <w:r>
        <w:rPr>
          <w:i/>
        </w:rPr>
        <w:t>Будагов</w:t>
      </w:r>
      <w:proofErr w:type="spellEnd"/>
      <w:r>
        <w:rPr>
          <w:i/>
        </w:rPr>
        <w:t xml:space="preserve"> Р. А. </w:t>
      </w:r>
      <w:r>
        <w:t xml:space="preserve">Введение в науку о языке. С. 113 (Р. А. </w:t>
      </w:r>
      <w:proofErr w:type="spellStart"/>
      <w:r>
        <w:t>Будагов</w:t>
      </w:r>
      <w:proofErr w:type="spellEnd"/>
      <w:r>
        <w:t xml:space="preserve"> называет такие заимствования неуко</w:t>
      </w:r>
      <w:r>
        <w:softHyphen/>
        <w:t>ренившимися и укоренившимися).</w:t>
      </w:r>
    </w:p>
    <w:p w:rsidR="00F46D1E" w:rsidRDefault="00F46D1E" w:rsidP="00F46D1E">
      <w:pPr>
        <w:pStyle w:val="a3"/>
      </w:pPr>
    </w:p>
    <w:p w:rsidR="00F46D1E" w:rsidRDefault="00F46D1E" w:rsidP="00F46D1E">
      <w:pPr>
        <w:pStyle w:val="a3"/>
        <w:pBdr>
          <w:bottom w:val="single" w:sz="4" w:space="1" w:color="auto"/>
        </w:pBdr>
      </w:pPr>
      <w:r>
        <w:lastRenderedPageBreak/>
        <w:t>С другой стороны, транскрибируемое слово не механически вво</w:t>
      </w:r>
      <w:r>
        <w:softHyphen/>
        <w:t>дится в язык перевода при помощи его графических средств. На са</w:t>
      </w:r>
      <w:r>
        <w:softHyphen/>
        <w:t>мом деле, окказиональное заимствование сразу же подвергается, хотя бы в небольшой степени, адаптации: фонетической — ведь русский читатель все равно не произнесет транскрибированное французское слово так, как его произносит француз;* грамматиче</w:t>
      </w:r>
      <w:r>
        <w:softHyphen/>
        <w:t>ской — в русском языке окказионально заимствованное существи</w:t>
      </w:r>
      <w:r>
        <w:softHyphen/>
        <w:t xml:space="preserve">тельное, если оно не оканчивается в единственном числе на </w:t>
      </w:r>
      <w:r>
        <w:rPr>
          <w:i/>
        </w:rPr>
        <w:t xml:space="preserve">е, и, у, о, </w:t>
      </w:r>
      <w:r>
        <w:t xml:space="preserve">тотчас включает в систему падежей: </w:t>
      </w:r>
      <w:r>
        <w:rPr>
          <w:i/>
        </w:rPr>
        <w:t xml:space="preserve">две арробы маиса, он взял </w:t>
      </w:r>
      <w:proofErr w:type="spellStart"/>
      <w:r>
        <w:rPr>
          <w:i/>
        </w:rPr>
        <w:t>бом-билью</w:t>
      </w:r>
      <w:proofErr w:type="spellEnd"/>
      <w:r>
        <w:rPr>
          <w:i/>
        </w:rPr>
        <w:t xml:space="preserve">, рюмку </w:t>
      </w:r>
      <w:proofErr w:type="spellStart"/>
      <w:r>
        <w:rPr>
          <w:i/>
        </w:rPr>
        <w:t>текилы</w:t>
      </w:r>
      <w:proofErr w:type="spellEnd"/>
      <w:r>
        <w:rPr>
          <w:i/>
        </w:rPr>
        <w:t xml:space="preserve">, она надела </w:t>
      </w:r>
      <w:proofErr w:type="spellStart"/>
      <w:r>
        <w:rPr>
          <w:i/>
        </w:rPr>
        <w:t>чупалью</w:t>
      </w:r>
      <w:proofErr w:type="spellEnd"/>
      <w:r>
        <w:rPr>
          <w:i/>
        </w:rPr>
        <w:t>, мы заказали пиццу, пять солей, просторы пампы</w:t>
      </w:r>
      <w:r>
        <w:t xml:space="preserve"> и т. п. А русские слова </w:t>
      </w:r>
      <w:r>
        <w:rPr>
          <w:i/>
        </w:rPr>
        <w:t>мужик, водка, само</w:t>
      </w:r>
      <w:r>
        <w:rPr>
          <w:i/>
        </w:rPr>
        <w:softHyphen/>
        <w:t>вар</w:t>
      </w:r>
      <w:r>
        <w:t xml:space="preserve"> сразу «обрастают» в испанском языке артиклями: </w:t>
      </w:r>
      <w:r>
        <w:rPr>
          <w:lang w:val="en-US"/>
        </w:rPr>
        <w:t>el</w:t>
      </w:r>
      <w:r>
        <w:t xml:space="preserve"> (</w:t>
      </w:r>
      <w:r>
        <w:rPr>
          <w:lang w:val="en-US"/>
        </w:rPr>
        <w:t>un</w:t>
      </w:r>
      <w:r>
        <w:t xml:space="preserve">) </w:t>
      </w:r>
      <w:proofErr w:type="spellStart"/>
      <w:r>
        <w:rPr>
          <w:lang w:val="en-US"/>
        </w:rPr>
        <w:t>mujik</w:t>
      </w:r>
      <w:proofErr w:type="spellEnd"/>
      <w:r>
        <w:t xml:space="preserve">, </w:t>
      </w:r>
      <w:r>
        <w:rPr>
          <w:lang w:val="en-US"/>
        </w:rPr>
        <w:t>el</w:t>
      </w:r>
      <w:r w:rsidRPr="00F46D1E">
        <w:t xml:space="preserve"> </w:t>
      </w:r>
      <w:r>
        <w:rPr>
          <w:lang w:val="en-US"/>
        </w:rPr>
        <w:t>vodka</w:t>
      </w:r>
      <w:r>
        <w:t xml:space="preserve">, </w:t>
      </w:r>
      <w:r>
        <w:rPr>
          <w:lang w:val="en-US"/>
        </w:rPr>
        <w:t>el</w:t>
      </w:r>
      <w:r>
        <w:t xml:space="preserve"> (</w:t>
      </w:r>
      <w:r>
        <w:rPr>
          <w:lang w:val="en-US"/>
        </w:rPr>
        <w:t>un</w:t>
      </w:r>
      <w:r>
        <w:t xml:space="preserve">) </w:t>
      </w:r>
      <w:r>
        <w:rPr>
          <w:lang w:val="en-US"/>
        </w:rPr>
        <w:t>samovar</w:t>
      </w:r>
      <w:r>
        <w:t>. Любое транскрибированное слово, даже когда язык заимствует его хотя бы к случаю, лишь на один раз, адаптируется, приноравливается, пусть робко и незначительно, к заимствующей языковой системе.</w:t>
      </w:r>
    </w:p>
    <w:p w:rsidR="00F46D1E" w:rsidRDefault="00F46D1E" w:rsidP="00F46D1E">
      <w:pPr>
        <w:pStyle w:val="a4"/>
      </w:pPr>
      <w:r>
        <w:t xml:space="preserve">* Кто из испанистов в пору ученичества не попадал впросак и не узнавал в </w:t>
      </w:r>
      <w:proofErr w:type="spellStart"/>
      <w:r>
        <w:t>mujik</w:t>
      </w:r>
      <w:proofErr w:type="spellEnd"/>
      <w:r>
        <w:t xml:space="preserve"> родного слова </w:t>
      </w:r>
      <w:r>
        <w:rPr>
          <w:i/>
        </w:rPr>
        <w:t>мужик!</w:t>
      </w:r>
    </w:p>
    <w:p w:rsidR="00F46D1E" w:rsidRDefault="00F46D1E" w:rsidP="00F46D1E">
      <w:pPr>
        <w:pStyle w:val="a3"/>
      </w:pPr>
    </w:p>
    <w:p w:rsidR="00F46D1E" w:rsidRDefault="00F46D1E" w:rsidP="00F46D1E">
      <w:pPr>
        <w:pStyle w:val="a3"/>
      </w:pPr>
      <w:r>
        <w:t>Во-вторых, представляется необходимым дифференцировать под</w:t>
      </w:r>
      <w:r>
        <w:softHyphen/>
        <w:t>ходы к лексико-стилистическим характеристикам слов оригинала и их эквивалентам в переводе. Как уже говорилось, слова-реалии — неотъ</w:t>
      </w:r>
      <w:r>
        <w:softHyphen/>
        <w:t>емлемая часть конкретного национального языка, часть, хорошо из</w:t>
      </w:r>
      <w:r>
        <w:softHyphen/>
        <w:t>вестная носителям языка, общеупотребительная. Современные пере</w:t>
      </w:r>
      <w:r>
        <w:softHyphen/>
        <w:t>водчики не рискуют выдумывать на замену таким словам собствен</w:t>
      </w:r>
      <w:r>
        <w:softHyphen/>
        <w:t>ные неологизмы или калькировать их. Недаром авторы упомянутой книги иллюстрируют словотворчество и калькирование лишь не</w:t>
      </w:r>
      <w:r>
        <w:softHyphen/>
        <w:t>многими примерами, заимствованными из языковедческих пособий.</w:t>
      </w:r>
    </w:p>
    <w:p w:rsidR="00F46D1E" w:rsidRDefault="00F46D1E" w:rsidP="00F46D1E">
      <w:pPr>
        <w:pStyle w:val="a3"/>
      </w:pPr>
      <w:r>
        <w:t>Наконец, в-третьих, предлагаемый как название одного из способов перевода термин «приблизительный перевод» и вкупе с ним «приблизительный синоним» представляются слишком неопределенными, расплывчатыми.</w:t>
      </w:r>
    </w:p>
    <w:p w:rsidR="009A310D" w:rsidRDefault="009A310D"/>
    <w:sectPr w:rsidR="009A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6D1E"/>
    <w:rsid w:val="009A310D"/>
    <w:rsid w:val="00F4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D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-">
    <w:name w:val="Заголовок 2-го уровня"/>
    <w:basedOn w:val="2"/>
    <w:rsid w:val="00F46D1E"/>
    <w:pPr>
      <w:keepLines w:val="0"/>
      <w:spacing w:before="120" w:after="120" w:line="24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3">
    <w:name w:val="Обычный текст"/>
    <w:basedOn w:val="a"/>
    <w:rsid w:val="00F46D1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Сноска"/>
    <w:basedOn w:val="a3"/>
    <w:rsid w:val="00F46D1E"/>
    <w:rPr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46D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1402</Words>
  <Characters>7995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2016-10-11T05:16:00Z</dcterms:created>
  <dcterms:modified xsi:type="dcterms:W3CDTF">2016-10-11T05:16:00Z</dcterms:modified>
</cp:coreProperties>
</file>